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BBFA79" w14:textId="77777777" w:rsidR="00FD0283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Судья: </w:t>
      </w:r>
      <w:proofErr w:type="spellStart"/>
      <w:r>
        <w:rPr>
          <w:rStyle w:val="cat-FIOgrp-3rplc-0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     </w:t>
      </w:r>
      <w:proofErr w:type="gramStart"/>
      <w:r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ab/>
        <w:t xml:space="preserve">          Гр. дело № 33-43375/2024</w:t>
      </w:r>
    </w:p>
    <w:p w14:paraId="6F84DB5B" w14:textId="77777777" w:rsidR="00FD0283" w:rsidRDefault="00000000">
      <w:pPr>
        <w:jc w:val="right"/>
        <w:rPr>
          <w:sz w:val="26"/>
          <w:szCs w:val="26"/>
        </w:rPr>
      </w:pPr>
      <w:r>
        <w:rPr>
          <w:sz w:val="26"/>
          <w:szCs w:val="26"/>
        </w:rPr>
        <w:t>(№ дела в суде первой инстанции 2-1340/2024)</w:t>
      </w:r>
    </w:p>
    <w:p w14:paraId="56E0255F" w14:textId="77777777" w:rsidR="00FD0283" w:rsidRDefault="00000000">
      <w:pPr>
        <w:jc w:val="right"/>
        <w:rPr>
          <w:sz w:val="26"/>
          <w:szCs w:val="26"/>
        </w:rPr>
      </w:pPr>
      <w:r>
        <w:rPr>
          <w:sz w:val="26"/>
          <w:szCs w:val="26"/>
        </w:rPr>
        <w:t>УИД 77RS0026-02-2023-001421-64</w:t>
      </w:r>
    </w:p>
    <w:p w14:paraId="70069C54" w14:textId="77777777" w:rsidR="00FD0283" w:rsidRDefault="00FD0283">
      <w:pPr>
        <w:jc w:val="both"/>
        <w:rPr>
          <w:sz w:val="26"/>
          <w:szCs w:val="26"/>
        </w:rPr>
      </w:pPr>
    </w:p>
    <w:p w14:paraId="48A83528" w14:textId="77777777" w:rsidR="00FD0283" w:rsidRDefault="00000000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АПЕЛЛЯЦИОННОЕ ОПРЕДЕЛЕНИЕ</w:t>
      </w:r>
    </w:p>
    <w:p w14:paraId="780C1612" w14:textId="77777777" w:rsidR="00FD0283" w:rsidRDefault="00FD0283">
      <w:pPr>
        <w:jc w:val="both"/>
        <w:rPr>
          <w:sz w:val="26"/>
          <w:szCs w:val="26"/>
        </w:rPr>
      </w:pPr>
    </w:p>
    <w:p w14:paraId="02B7A8E1" w14:textId="77777777" w:rsidR="00FD0283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30 октября 2024 года</w:t>
      </w:r>
      <w:r>
        <w:rPr>
          <w:sz w:val="26"/>
          <w:szCs w:val="26"/>
        </w:rPr>
        <w:tab/>
        <w:t xml:space="preserve">                                                           </w:t>
      </w:r>
      <w:proofErr w:type="gramStart"/>
      <w:r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 xml:space="preserve">     </w:t>
      </w:r>
      <w:r>
        <w:rPr>
          <w:rStyle w:val="cat-Addressgrp-0rplc-1"/>
          <w:sz w:val="26"/>
          <w:szCs w:val="26"/>
        </w:rPr>
        <w:t>адрес</w:t>
      </w:r>
    </w:p>
    <w:p w14:paraId="5AD6686C" w14:textId="77777777" w:rsidR="00FD0283" w:rsidRDefault="0000000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14:paraId="6E70E946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Судебная коллегия по гражданским делам Московского городского суда в составе председательствующего </w:t>
      </w:r>
      <w:proofErr w:type="spellStart"/>
      <w:r>
        <w:rPr>
          <w:sz w:val="26"/>
          <w:szCs w:val="26"/>
        </w:rPr>
        <w:t>Федерякиной</w:t>
      </w:r>
      <w:proofErr w:type="spellEnd"/>
      <w:r>
        <w:rPr>
          <w:sz w:val="26"/>
          <w:szCs w:val="26"/>
        </w:rPr>
        <w:t xml:space="preserve"> Е.Ю.,   </w:t>
      </w:r>
    </w:p>
    <w:p w14:paraId="7CB224CD" w14:textId="77777777" w:rsidR="00FD0283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судей </w:t>
      </w:r>
      <w:proofErr w:type="spellStart"/>
      <w:r>
        <w:rPr>
          <w:rStyle w:val="cat-FIOgrp-5rplc-3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rStyle w:val="cat-FIOgrp-6rplc-4"/>
          <w:sz w:val="26"/>
          <w:szCs w:val="26"/>
        </w:rPr>
        <w:t>фио</w:t>
      </w:r>
      <w:proofErr w:type="spellEnd"/>
      <w:r>
        <w:rPr>
          <w:sz w:val="26"/>
          <w:szCs w:val="26"/>
        </w:rPr>
        <w:t>,</w:t>
      </w:r>
    </w:p>
    <w:p w14:paraId="593ACEC6" w14:textId="77777777" w:rsidR="00FD0283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ведении протокола помощником судьи </w:t>
      </w:r>
      <w:proofErr w:type="spellStart"/>
      <w:r>
        <w:rPr>
          <w:sz w:val="26"/>
          <w:szCs w:val="26"/>
        </w:rPr>
        <w:t>Ортун</w:t>
      </w:r>
      <w:proofErr w:type="spellEnd"/>
      <w:r>
        <w:rPr>
          <w:sz w:val="26"/>
          <w:szCs w:val="26"/>
        </w:rPr>
        <w:t xml:space="preserve"> К.Ч.,</w:t>
      </w:r>
    </w:p>
    <w:p w14:paraId="401B56F9" w14:textId="77777777" w:rsidR="00FD0283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заслушав в открытом судебном заседании по докладу судьи </w:t>
      </w:r>
      <w:proofErr w:type="spellStart"/>
      <w:r>
        <w:rPr>
          <w:rStyle w:val="cat-FIOgrp-5rplc-6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, </w:t>
      </w:r>
    </w:p>
    <w:p w14:paraId="73E46E83" w14:textId="77777777" w:rsidR="00FD0283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гражданское дело по апелляционной жалобе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</w:t>
      </w:r>
      <w:r>
        <w:rPr>
          <w:rStyle w:val="cat-UserDefinedgrp-29rplc-8"/>
          <w:sz w:val="26"/>
          <w:szCs w:val="26"/>
        </w:rPr>
        <w:t>...</w:t>
      </w:r>
      <w:r>
        <w:rPr>
          <w:sz w:val="26"/>
          <w:szCs w:val="26"/>
        </w:rPr>
        <w:t xml:space="preserve"> на решение Нагатинского районного суда </w:t>
      </w:r>
      <w:r>
        <w:rPr>
          <w:rStyle w:val="cat-Addressgrp-0rplc-9"/>
          <w:sz w:val="26"/>
          <w:szCs w:val="26"/>
        </w:rPr>
        <w:t>адрес</w:t>
      </w:r>
      <w:r>
        <w:rPr>
          <w:sz w:val="26"/>
          <w:szCs w:val="26"/>
        </w:rPr>
        <w:t xml:space="preserve"> от 19 марта 2024 года, которым постановлено:</w:t>
      </w:r>
    </w:p>
    <w:p w14:paraId="1D70928D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Иск Шамшиной </w:t>
      </w:r>
      <w:r>
        <w:rPr>
          <w:rStyle w:val="cat-UserDefinedgrp-30rplc-11"/>
          <w:sz w:val="26"/>
          <w:szCs w:val="26"/>
        </w:rPr>
        <w:t>...</w:t>
      </w:r>
      <w:r>
        <w:rPr>
          <w:sz w:val="26"/>
          <w:szCs w:val="26"/>
        </w:rPr>
        <w:t xml:space="preserve">, Бредихина </w:t>
      </w:r>
      <w:r>
        <w:rPr>
          <w:rStyle w:val="cat-UserDefinedgrp-31rplc-13"/>
          <w:sz w:val="26"/>
          <w:szCs w:val="26"/>
        </w:rPr>
        <w:t>...</w:t>
      </w:r>
      <w:r>
        <w:rPr>
          <w:sz w:val="26"/>
          <w:szCs w:val="26"/>
        </w:rPr>
        <w:t xml:space="preserve"> удовлетворить частично.</w:t>
      </w:r>
    </w:p>
    <w:p w14:paraId="02B2E18D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Взыскать с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</w:t>
      </w:r>
      <w:r>
        <w:rPr>
          <w:rStyle w:val="cat-UserDefinedgrp-29rplc-15"/>
          <w:sz w:val="26"/>
          <w:szCs w:val="26"/>
        </w:rPr>
        <w:t>...</w:t>
      </w:r>
      <w:r>
        <w:rPr>
          <w:sz w:val="26"/>
          <w:szCs w:val="26"/>
        </w:rPr>
        <w:t xml:space="preserve"> </w:t>
      </w:r>
      <w:r>
        <w:rPr>
          <w:rStyle w:val="cat-UserDefinedgrp-32rplc-16"/>
          <w:sz w:val="26"/>
          <w:szCs w:val="26"/>
        </w:rPr>
        <w:t>...</w:t>
      </w:r>
      <w:r>
        <w:rPr>
          <w:sz w:val="26"/>
          <w:szCs w:val="26"/>
        </w:rPr>
        <w:t xml:space="preserve"> в пользу Шамшиной </w:t>
      </w:r>
      <w:r>
        <w:rPr>
          <w:rStyle w:val="cat-UserDefinedgrp-30rplc-19"/>
          <w:sz w:val="26"/>
          <w:szCs w:val="26"/>
        </w:rPr>
        <w:t>...</w:t>
      </w:r>
      <w:r>
        <w:rPr>
          <w:sz w:val="26"/>
          <w:szCs w:val="26"/>
        </w:rPr>
        <w:t xml:space="preserve"> </w:t>
      </w:r>
      <w:r>
        <w:rPr>
          <w:rStyle w:val="cat-UserDefinedgrp-33rplc-20"/>
          <w:sz w:val="26"/>
          <w:szCs w:val="26"/>
        </w:rPr>
        <w:t>...</w:t>
      </w:r>
      <w:r>
        <w:rPr>
          <w:sz w:val="26"/>
          <w:szCs w:val="26"/>
        </w:rPr>
        <w:t xml:space="preserve"> Бредихина </w:t>
      </w:r>
      <w:r>
        <w:rPr>
          <w:rStyle w:val="cat-UserDefinedgrp-31rplc-23"/>
          <w:sz w:val="26"/>
          <w:szCs w:val="26"/>
        </w:rPr>
        <w:t>...</w:t>
      </w:r>
      <w:r>
        <w:rPr>
          <w:sz w:val="26"/>
          <w:szCs w:val="26"/>
        </w:rPr>
        <w:t xml:space="preserve"> </w:t>
      </w:r>
      <w:r>
        <w:rPr>
          <w:rStyle w:val="cat-UserDefinedgrp-34rplc-24"/>
          <w:sz w:val="26"/>
          <w:szCs w:val="26"/>
        </w:rPr>
        <w:t>...</w:t>
      </w:r>
      <w:r>
        <w:rPr>
          <w:sz w:val="26"/>
          <w:szCs w:val="26"/>
        </w:rPr>
        <w:t xml:space="preserve"> как солидарных взыскателей: в счет ущерба от залива </w:t>
      </w:r>
      <w:r>
        <w:rPr>
          <w:rStyle w:val="cat-Sumgrp-22rplc-26"/>
          <w:sz w:val="26"/>
          <w:szCs w:val="26"/>
        </w:rPr>
        <w:t>сумма</w:t>
      </w:r>
      <w:r>
        <w:rPr>
          <w:sz w:val="26"/>
          <w:szCs w:val="26"/>
        </w:rPr>
        <w:t xml:space="preserve">, </w:t>
      </w:r>
    </w:p>
    <w:p w14:paraId="238385C9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судебные расходы </w:t>
      </w:r>
      <w:r>
        <w:rPr>
          <w:rStyle w:val="cat-Sumgrp-23rplc-27"/>
          <w:sz w:val="26"/>
          <w:szCs w:val="26"/>
        </w:rPr>
        <w:t>сумма</w:t>
      </w:r>
      <w:r>
        <w:rPr>
          <w:sz w:val="26"/>
          <w:szCs w:val="26"/>
        </w:rPr>
        <w:t xml:space="preserve"> и расходы по госпошлине </w:t>
      </w:r>
      <w:r>
        <w:rPr>
          <w:rStyle w:val="cat-Sumgrp-24rplc-28"/>
          <w:sz w:val="26"/>
          <w:szCs w:val="26"/>
        </w:rPr>
        <w:t>сумма</w:t>
      </w:r>
      <w:r>
        <w:rPr>
          <w:sz w:val="26"/>
          <w:szCs w:val="26"/>
        </w:rPr>
        <w:t xml:space="preserve"> </w:t>
      </w:r>
    </w:p>
    <w:p w14:paraId="07B04645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остальной части иска отказать,</w:t>
      </w:r>
    </w:p>
    <w:p w14:paraId="10846BCF" w14:textId="77777777" w:rsidR="00FD0283" w:rsidRDefault="00FD0283">
      <w:pPr>
        <w:jc w:val="both"/>
        <w:rPr>
          <w:sz w:val="26"/>
          <w:szCs w:val="26"/>
        </w:rPr>
      </w:pPr>
    </w:p>
    <w:p w14:paraId="43289427" w14:textId="77777777" w:rsidR="00FD0283" w:rsidRDefault="00000000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УСТАНОВИЛА:</w:t>
      </w:r>
    </w:p>
    <w:p w14:paraId="06C87F9A" w14:textId="77777777" w:rsidR="00FD0283" w:rsidRDefault="00FD0283">
      <w:pPr>
        <w:jc w:val="both"/>
        <w:rPr>
          <w:sz w:val="26"/>
          <w:szCs w:val="26"/>
        </w:rPr>
      </w:pPr>
    </w:p>
    <w:p w14:paraId="54D3EBD8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Истцы </w:t>
      </w:r>
      <w:proofErr w:type="spellStart"/>
      <w:r>
        <w:rPr>
          <w:rStyle w:val="cat-FIOgrp-11rplc-29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, Бредихин А.А. обратились в суд с иском к ответчику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о возмещении ущерба, причиненного заливом квартиры, в обоснование иска указав, что они являются собственниками квартиры, расположенной по адресу </w:t>
      </w:r>
      <w:r>
        <w:rPr>
          <w:rStyle w:val="cat-Addressgrp-1rplc-32"/>
          <w:sz w:val="26"/>
          <w:szCs w:val="26"/>
        </w:rPr>
        <w:t>адрес</w:t>
      </w:r>
      <w:r>
        <w:rPr>
          <w:sz w:val="26"/>
          <w:szCs w:val="26"/>
        </w:rPr>
        <w:t xml:space="preserve">, ответчик </w:t>
      </w:r>
      <w:proofErr w:type="spellStart"/>
      <w:r>
        <w:rPr>
          <w:sz w:val="26"/>
          <w:szCs w:val="26"/>
        </w:rPr>
        <w:t>Бирина</w:t>
      </w:r>
      <w:proofErr w:type="spellEnd"/>
      <w:r>
        <w:rPr>
          <w:sz w:val="26"/>
          <w:szCs w:val="26"/>
        </w:rPr>
        <w:t xml:space="preserve"> О.С. является собственником вышерасположенной квартиры 134 по тому же адресу.  </w:t>
      </w:r>
    </w:p>
    <w:p w14:paraId="610BA073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20.03.2023 произошел залив их квартиры 131 из вышерасположенной квартиры 134 ответчика, в результате чего их квартире и имуществу причинены повреждения.</w:t>
      </w:r>
    </w:p>
    <w:p w14:paraId="16173399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акту о заливе, составленному управляющей организации дома ТСЖ «Колизей», причина залива их квартиры № 131 – потеря герметичности в соединениях труб и фасонных изделий из ПВХ внутриквартирной разводки водоотведения кухни, расположенной после общедомового стояка канализации в квартире 134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О.С., смонтированной самостоятельно собственником кв. 134, то есть, в заливе имеется вина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 </w:t>
      </w:r>
    </w:p>
    <w:p w14:paraId="13232391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Допуск сантехника в кв.134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был произведен только 28.03.2023, после чего сантехником были перекрыты краны систем ГВС и ХВС на кухне и в тех. шкафу кв. 134, специалист заглушил внутриквартирную систему </w:t>
      </w:r>
      <w:proofErr w:type="spellStart"/>
      <w:r>
        <w:rPr>
          <w:sz w:val="26"/>
          <w:szCs w:val="26"/>
        </w:rPr>
        <w:t>водотведения</w:t>
      </w:r>
      <w:proofErr w:type="spellEnd"/>
      <w:r>
        <w:rPr>
          <w:sz w:val="26"/>
          <w:szCs w:val="26"/>
        </w:rPr>
        <w:t xml:space="preserve"> на кухне кв. 134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</w:t>
      </w:r>
    </w:p>
    <w:p w14:paraId="461820E1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То же обстоятельство установлено выпиской из журнала приема заявок ТСЖ «Колизей». </w:t>
      </w:r>
    </w:p>
    <w:p w14:paraId="26B24237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Согласно заключению специалиста, размер ущерба истцов от данного залива (повреждения квартиры и имущества): </w:t>
      </w:r>
      <w:r>
        <w:rPr>
          <w:rStyle w:val="cat-Sumgrp-22rplc-38"/>
          <w:sz w:val="26"/>
          <w:szCs w:val="26"/>
        </w:rPr>
        <w:t>сумма</w:t>
      </w:r>
      <w:r>
        <w:rPr>
          <w:sz w:val="26"/>
          <w:szCs w:val="26"/>
        </w:rPr>
        <w:t xml:space="preserve">, указанную сумму, проценты по ст. 395 ГК РФ на сумму ущерба, а также судебные расходы истцы просили взыскать с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</w:t>
      </w:r>
    </w:p>
    <w:p w14:paraId="1FA2EFBB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Истец Бредихин А.А., представитель истцов в судебное заседание суда первой инстанции явились, исковые требования полностью поддержали. </w:t>
      </w:r>
    </w:p>
    <w:p w14:paraId="48D391CE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Представитель ответчика в судебное заседание суда первой инстанции явился, иск полностью не признал по доводам, изложенным письменно, пояснив, что никаких доказательств вины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в данном заливе не имеется, залив, возможно, произошел из квартир, расположенных выше квартиры ответчика 134, размер ущерба завышен, должна быть применена ст. 1083 ГК РФ о вине, либо неосторожности самих истцов в заливе. </w:t>
      </w:r>
    </w:p>
    <w:p w14:paraId="778D6080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 3-го лица ТСЖ «Колизей» в судебное заседание суда первой инстанции явился, пояснив, что причиной залива квартиры истцов стала неисправность внутриквартирной систем водоотведения в квартире ответчика 134 (после первого запорного устройства).</w:t>
      </w:r>
    </w:p>
    <w:p w14:paraId="05BC1872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Судом постановлено указанное выше решение, об отмене которого просит представитель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О.С., действующий на основании доверенности Липин Н.Н., по доводам апелляционной жалобы, указывая на нарушение норм материального и процессуального права, несоответствие выводов суда обстоятельствам дела.</w:t>
      </w:r>
    </w:p>
    <w:p w14:paraId="1C029054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Истец Бредихин А.А., представитель </w:t>
      </w:r>
      <w:proofErr w:type="gramStart"/>
      <w:r>
        <w:rPr>
          <w:sz w:val="26"/>
          <w:szCs w:val="26"/>
        </w:rPr>
        <w:t>истца</w:t>
      </w:r>
      <w:proofErr w:type="gramEnd"/>
      <w:r>
        <w:rPr>
          <w:sz w:val="26"/>
          <w:szCs w:val="26"/>
        </w:rPr>
        <w:t xml:space="preserve"> действующий на основании доверенности </w:t>
      </w:r>
      <w:proofErr w:type="spellStart"/>
      <w:r>
        <w:rPr>
          <w:rStyle w:val="cat-FIOgrp-15rplc-45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 в заседании судебной коллегии против доводов апелляционной жалобы возражали,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sz w:val="26"/>
          <w:szCs w:val="26"/>
        </w:rPr>
        <w:t>полагая решение суда первой инстанции законным и обоснованным.</w:t>
      </w:r>
    </w:p>
    <w:p w14:paraId="2967A1DC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 истца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sz w:val="26"/>
          <w:szCs w:val="26"/>
        </w:rPr>
        <w:t>Шамшиной Д.С.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действующий на основании доверенности </w:t>
      </w:r>
      <w:proofErr w:type="spellStart"/>
      <w:r>
        <w:rPr>
          <w:rStyle w:val="cat-FIOgrp-15rplc-47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 в заседании судебной коллегии против доводов апелляционной жалобы возражал, полагая решение суда первой инстанции законным и обоснованным.</w:t>
      </w:r>
    </w:p>
    <w:p w14:paraId="07B9495F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Представитель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действующий на основании доверенности Липин Н.Н. в заседание судебной коллегии доводы апелляционной жалобы поддержал.</w:t>
      </w:r>
    </w:p>
    <w:p w14:paraId="6A4069D2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Представитель третьего лица ТСЖ </w:t>
      </w:r>
      <w:proofErr w:type="gramStart"/>
      <w:r>
        <w:rPr>
          <w:sz w:val="26"/>
          <w:szCs w:val="26"/>
        </w:rPr>
        <w:t>«Колизей»</w:t>
      </w:r>
      <w:proofErr w:type="gramEnd"/>
      <w:r>
        <w:rPr>
          <w:sz w:val="26"/>
          <w:szCs w:val="26"/>
        </w:rPr>
        <w:t xml:space="preserve"> действующий на основании доверенности </w:t>
      </w:r>
      <w:proofErr w:type="spellStart"/>
      <w:r>
        <w:rPr>
          <w:rStyle w:val="cat-FIOgrp-17rplc-50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 в заседание судебной коллегии с доводами апелляционной жалобы не согласился, полагая решение суда первой инстанции законным и обоснованным.</w:t>
      </w:r>
    </w:p>
    <w:p w14:paraId="442892DA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Проверив материалы дела, выслушав объяснения истца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Style w:val="cat-FIOgrp-18rplc-51"/>
          <w:sz w:val="26"/>
          <w:szCs w:val="26"/>
        </w:rPr>
        <w:t>фио</w:t>
      </w:r>
      <w:proofErr w:type="spellEnd"/>
      <w:r>
        <w:rPr>
          <w:sz w:val="26"/>
          <w:szCs w:val="26"/>
        </w:rPr>
        <w:t>, представителя истцов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>
        <w:rPr>
          <w:rStyle w:val="cat-FIOgrp-19rplc-52"/>
          <w:sz w:val="26"/>
          <w:szCs w:val="26"/>
        </w:rPr>
        <w:t>фио</w:t>
      </w:r>
      <w:proofErr w:type="spellEnd"/>
      <w:r>
        <w:rPr>
          <w:sz w:val="26"/>
          <w:szCs w:val="26"/>
        </w:rPr>
        <w:t>, представителя ответчика, представителя третьего лица ТСЖ «Колизей», обсудив доводы апелляционной жалобы, судебная коллегия приходит к выводу о том, что не имеется оснований для отмены обжалуемого решения, постановленного в соответствии с фактическими обстоятельствами дела и требованиями законодательства.</w:t>
      </w:r>
    </w:p>
    <w:p w14:paraId="63968ECF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силу ст.195 ГПК РФ решение суда должно быть законным и обоснованным.</w:t>
      </w:r>
    </w:p>
    <w:p w14:paraId="21F17E55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ч.1 ст.330 ГПК РФ основаниями для отмены или изменения решения суда в апелляционном порядке являются неправильное определение </w:t>
      </w:r>
      <w:r>
        <w:rPr>
          <w:sz w:val="26"/>
          <w:szCs w:val="26"/>
        </w:rPr>
        <w:lastRenderedPageBreak/>
        <w:t>обстоятельств, имеющих значение для дела; недоказанность установленных судом первой инстанции обстоятельств, имеющих значение для дела; несоответствие выводов суда первой инстанции, изложенных в решении суда, обстоятельствам дела; нарушение или неправильное применение норм материального права или норм процессуального права.</w:t>
      </w:r>
    </w:p>
    <w:p w14:paraId="48884245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ч.1 ст.327.1 ГПК РФ суд апелляционной инстанции рассматривает дело в пределах доводов, изложенных в апелляционных жалобе, представлении и возражениях относительно жалобы, представления.</w:t>
      </w:r>
    </w:p>
    <w:p w14:paraId="2E631E2B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Как установлено судом, истцы </w:t>
      </w:r>
      <w:proofErr w:type="spellStart"/>
      <w:r>
        <w:rPr>
          <w:rStyle w:val="cat-FIOgrp-11rplc-53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, Бредихин А.А. являются собственниками квартиры, расположенной по адресу </w:t>
      </w:r>
      <w:r>
        <w:rPr>
          <w:rStyle w:val="cat-Addressgrp-2rplc-55"/>
          <w:sz w:val="26"/>
          <w:szCs w:val="26"/>
        </w:rPr>
        <w:t>адрес</w:t>
      </w:r>
      <w:r>
        <w:rPr>
          <w:sz w:val="26"/>
          <w:szCs w:val="26"/>
        </w:rPr>
        <w:t xml:space="preserve">, ответчик </w:t>
      </w:r>
      <w:proofErr w:type="spellStart"/>
      <w:r>
        <w:rPr>
          <w:sz w:val="26"/>
          <w:szCs w:val="26"/>
        </w:rPr>
        <w:t>Бирина</w:t>
      </w:r>
      <w:proofErr w:type="spellEnd"/>
      <w:r>
        <w:rPr>
          <w:sz w:val="26"/>
          <w:szCs w:val="26"/>
        </w:rPr>
        <w:t xml:space="preserve"> О.С. является собственником вышерасположенной квартиры 134 по тому же адресу.  </w:t>
      </w:r>
    </w:p>
    <w:p w14:paraId="2B892DF1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20.03.2023 произошел залив квартиры истцов 131 из вышерасположенной квартиры 134 ответчика, в результате чего их квартире и имуществу причинены повреждения.</w:t>
      </w:r>
    </w:p>
    <w:p w14:paraId="48B4339E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акту о заливе, составленному управляющей организации дома ТСЖ «Колизей» причина залива их квартиры № 131 – потеря герметичности в соединениях труб и фасонных изделий из ПВХ внутриквартирной разводки водоотведения кухни, расположенной после общедомового стояка канализации в квартире 134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О.С., смонтированной самостоятельно собственником кв. 134, то есть, в заливе имеется вина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 </w:t>
      </w:r>
    </w:p>
    <w:p w14:paraId="442D0FA9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Допуск сантехника в кв. 134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был произведен только 28.03.2023, после чего сантехником были перекрыты краны систем ГВС и ХВС на кухне и в тех. шкафу кв. 134, специалист заглушил внутриквартирную систему водоотведения на кухне кв. 134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</w:t>
      </w:r>
    </w:p>
    <w:p w14:paraId="0FBEA961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 же обстоятельства залива установлены выпиской из журнала приема заявок ТСЖ «Колизей», пояснениями 3-го лица ТСЖ «Колизей», показаниями в судебном заседании свидетеля </w:t>
      </w:r>
      <w:proofErr w:type="spellStart"/>
      <w:r>
        <w:rPr>
          <w:rStyle w:val="cat-FIOgrp-20rplc-61"/>
          <w:sz w:val="26"/>
          <w:szCs w:val="26"/>
        </w:rPr>
        <w:t>фио</w:t>
      </w:r>
      <w:proofErr w:type="spellEnd"/>
      <w:r>
        <w:rPr>
          <w:sz w:val="26"/>
          <w:szCs w:val="26"/>
        </w:rPr>
        <w:t xml:space="preserve"> (гл. инженера ТСЖ «Колизей», составлявшего акт о заливе) о том, что все повреждения квартиры истцов № 131 причинены именно в результате залива 20.03.2023 из квартиры ответчика 134 (повреждена внутриквартирная система водоотведения на кухне, расположенная после первого запорного устройства. </w:t>
      </w:r>
    </w:p>
    <w:p w14:paraId="20749FB1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Повреждения из вышерасположенных квартир (над кв. 134) невозможны, так как все повреждения в кв. 134 в нижней части стен.  </w:t>
      </w:r>
    </w:p>
    <w:p w14:paraId="351F1EA5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Оценивая показания свидетеля,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sz w:val="26"/>
          <w:szCs w:val="26"/>
        </w:rPr>
        <w:t>суд принял их в качестве относимого и допустимого доказательства, указав, что они согласуются с материалами дела, свидетель был предупрежден судом об ответственности по ст. 307 УК РФ.</w:t>
      </w:r>
    </w:p>
    <w:p w14:paraId="05E77583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ст. 1064 ГК РФ вина ответчика в причинении ущерба презюмируется. </w:t>
      </w:r>
    </w:p>
    <w:p w14:paraId="1B93E6B4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Доказательств, которые опровергали бы данную презумпцию, стороной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суду не представлено, таким образом, суд считает ее вину в заливе полностью установленной и подтвержденной.   </w:t>
      </w:r>
    </w:p>
    <w:p w14:paraId="14063F24" w14:textId="77777777" w:rsidR="00FD0283" w:rsidRDefault="00000000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Согласно заключения</w:t>
      </w:r>
      <w:proofErr w:type="gramEnd"/>
      <w:r>
        <w:rPr>
          <w:sz w:val="26"/>
          <w:szCs w:val="26"/>
        </w:rPr>
        <w:t xml:space="preserve"> специалиста, размер ущерба истцов от данного залива (повреждения квартиры и имущества): </w:t>
      </w:r>
      <w:r>
        <w:rPr>
          <w:rStyle w:val="cat-Sumgrp-22rplc-63"/>
          <w:sz w:val="26"/>
          <w:szCs w:val="26"/>
        </w:rPr>
        <w:t>сумма</w:t>
      </w:r>
      <w:r>
        <w:rPr>
          <w:sz w:val="26"/>
          <w:szCs w:val="26"/>
        </w:rPr>
        <w:t xml:space="preserve">, указанная сумма ущерба ответчиком оспорена, однако, доказательств иного размера ущерба ответчиком не представлено, </w:t>
      </w:r>
      <w:r>
        <w:rPr>
          <w:sz w:val="26"/>
          <w:szCs w:val="26"/>
        </w:rPr>
        <w:lastRenderedPageBreak/>
        <w:t xml:space="preserve">ходатайств о назначении судебной экспертизы не заявлено, учитывая данные обстоятельства, суд посчитал размер ущерба полностью установленным </w:t>
      </w:r>
      <w:r>
        <w:rPr>
          <w:rStyle w:val="cat-Sumgrp-22rplc-64"/>
          <w:sz w:val="26"/>
          <w:szCs w:val="26"/>
        </w:rPr>
        <w:t>сумма</w:t>
      </w:r>
      <w:r>
        <w:rPr>
          <w:sz w:val="26"/>
          <w:szCs w:val="26"/>
        </w:rPr>
        <w:t xml:space="preserve"> </w:t>
      </w:r>
    </w:p>
    <w:p w14:paraId="4EB100F3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 собранные доказательства в совокупности по правилам ст. 67 ГПК РФ, руководствуясь </w:t>
      </w:r>
      <w:proofErr w:type="spellStart"/>
      <w:r>
        <w:rPr>
          <w:sz w:val="26"/>
          <w:szCs w:val="26"/>
        </w:rPr>
        <w:t>ст.ст</w:t>
      </w:r>
      <w:proofErr w:type="spellEnd"/>
      <w:r>
        <w:rPr>
          <w:sz w:val="26"/>
          <w:szCs w:val="26"/>
        </w:rPr>
        <w:t xml:space="preserve">. 15, 210, 1064 ГК РФ, </w:t>
      </w:r>
      <w:proofErr w:type="spellStart"/>
      <w:r>
        <w:rPr>
          <w:sz w:val="26"/>
          <w:szCs w:val="26"/>
        </w:rPr>
        <w:t>ст.ст</w:t>
      </w:r>
      <w:proofErr w:type="spellEnd"/>
      <w:r>
        <w:rPr>
          <w:sz w:val="26"/>
          <w:szCs w:val="26"/>
        </w:rPr>
        <w:t xml:space="preserve">. 17, 30, 161, 162 ЖК РФ, п. 5, п. 42, «Правил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утвержденных Постановлением Правительства РФ от 13.08.2006 № 491, суд пришёл к обоснованному выводу, что с ответчика в пользу истца подлежит взысканию сумма ущерба в размере </w:t>
      </w:r>
      <w:r>
        <w:rPr>
          <w:rStyle w:val="cat-Sumgrp-25rplc-65"/>
          <w:sz w:val="26"/>
          <w:szCs w:val="26"/>
        </w:rPr>
        <w:t>сумма</w:t>
      </w:r>
    </w:p>
    <w:p w14:paraId="777E3EF1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Доводы стороны ответчика о необходимости применения ст. 1083 ГК РФ и снижении размера ущерба, судом отклонены, так как доказательств вины, либо неосторожности истцов в заливе и ущербе, стороной ответчика не представлено, равно как не представлено доказательств тяжелого материального положения. </w:t>
      </w:r>
    </w:p>
    <w:p w14:paraId="4141AD7E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Ссылки возражений стороны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на то, что она приобрела указанную квартиру 134 в 2002 и никаких перепланировок в ней не производила, судом также правомерно отклонены, так как с даты регистрации своей собственности на квартиру (в 2002) ответчик </w:t>
      </w:r>
      <w:proofErr w:type="spellStart"/>
      <w:r>
        <w:rPr>
          <w:sz w:val="26"/>
          <w:szCs w:val="26"/>
        </w:rPr>
        <w:t>Бирина</w:t>
      </w:r>
      <w:proofErr w:type="spellEnd"/>
      <w:r>
        <w:rPr>
          <w:sz w:val="26"/>
          <w:szCs w:val="26"/>
        </w:rPr>
        <w:t xml:space="preserve"> О.С., в силу ст. 30 ЖК РФ, 210 ГК РФ несет полную ответственность за состояние внутриквартирной системы водоотведения на кухне квартиры (после первого запорного устройства).    </w:t>
      </w:r>
    </w:p>
    <w:p w14:paraId="0FA9A40D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Учитывая указанное обстоятельство, судом признаны необоснованными доводы возражений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 об отсутствии ее вины в данном заливе. </w:t>
      </w:r>
    </w:p>
    <w:p w14:paraId="7A074210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Доказательств иных причин залива квартиры истцов ответчиком не представлено, учитывая вышеизложенное, суд пришел к выводу о том, что залив квартиры истцов от 20.03.2023 произошел по вине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</w:t>
      </w:r>
    </w:p>
    <w:p w14:paraId="037E5AA0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этом суд отказал в части требований о процентах по ст. 395 ГК РФ на сумму ущерба, учитывая, что обязательство ответчика вытекает из деликта, а не из договора.    </w:t>
      </w:r>
    </w:p>
    <w:p w14:paraId="21675483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Применяя положения </w:t>
      </w:r>
      <w:proofErr w:type="spellStart"/>
      <w:r>
        <w:rPr>
          <w:sz w:val="26"/>
          <w:szCs w:val="26"/>
        </w:rPr>
        <w:t>ст.ст</w:t>
      </w:r>
      <w:proofErr w:type="spellEnd"/>
      <w:r>
        <w:rPr>
          <w:sz w:val="26"/>
          <w:szCs w:val="26"/>
        </w:rPr>
        <w:t xml:space="preserve">. 94-98, ст.100 ГПК РФ, в связи с полным удовлетворением иска с   ответчика в пользу истцов солидарно взысканы судебные расходы по оценке и иным юридическим услугам </w:t>
      </w:r>
      <w:r>
        <w:rPr>
          <w:rStyle w:val="cat-Sumgrp-23rplc-70"/>
          <w:sz w:val="26"/>
          <w:szCs w:val="26"/>
        </w:rPr>
        <w:t>сумма</w:t>
      </w:r>
      <w:r>
        <w:rPr>
          <w:sz w:val="26"/>
          <w:szCs w:val="26"/>
        </w:rPr>
        <w:t xml:space="preserve"> и расходы по госпошлине </w:t>
      </w:r>
      <w:r>
        <w:rPr>
          <w:rStyle w:val="cat-Sumgrp-24rplc-71"/>
          <w:sz w:val="26"/>
          <w:szCs w:val="26"/>
        </w:rPr>
        <w:t>сумма</w:t>
      </w:r>
    </w:p>
    <w:p w14:paraId="1421FBC3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Судебная коллегия с выводами суда первой инстанции соглашается, поскольку они основаны на правильном применении норм материального и процессуального права и представленных сторонами доказательствах, которые всесторонне и тщательно исследованы судом и которым судом в решении дана надлежащая правовая оценка.</w:t>
      </w:r>
    </w:p>
    <w:p w14:paraId="76C416F7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Доводы апелляционной жалобы ответчика, суть которой сводится к оспариванию вины в причинении ущерба истцу, судебная коллегия находит несостоятельными, поскольку данные доводы являлись предметом рассмотрения суда, опровергаются совокупностью собранных по делу доказательств, не доверять которым у судебной коллегии оснований не имеется. Кроме того, данные доводы жалобы направлены на оспаривание выводов суда, а также иную оценку доказательств, не содержат </w:t>
      </w:r>
      <w:r>
        <w:rPr>
          <w:sz w:val="26"/>
          <w:szCs w:val="26"/>
        </w:rPr>
        <w:lastRenderedPageBreak/>
        <w:t>обстоятельств, нуждающихся в дополнительной проверке, а также фактически выражают субъективную точку зрения ответчика на причины причинения ущерба истцу, которая не подтверждается материалами дела.</w:t>
      </w:r>
    </w:p>
    <w:p w14:paraId="5BB20B99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Как было указано судом первой инстанции, согласно акту о заливе, составленному управляющей организации дома ТСЖ «Колизей», причина залива их квартиры № 131 – потеря герметичности в соединениях труб и фасонных изделий из ПВХ внутриквартирной разводки водоотведения кухни, расположенной после общедомового стояка канализации в квартире 134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О.С., смонтированной самостоятельно собственником кв. 134.</w:t>
      </w:r>
    </w:p>
    <w:p w14:paraId="5873CED0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Из указанного акта явно следует, что квартире истцов причинен ущерб в результате ее залива, произошедшего из квартиры ответчика. Какого-либо иного акта, иных доказательств в его опровержение стороной ответчика не представлено, сведений об иных причинах залива и каких-либо доказательств наличия иных причин залива, не представлено.</w:t>
      </w:r>
    </w:p>
    <w:p w14:paraId="6DD1E06B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Кроме того, как разъяснено в пункте 12 Постановления Пленума Верховного Суда РФ от 23.06.2015 N 25 "О применении судами некоторых положений раздела I части первой Гражданского кодекса Российской Федерации" отсутствие вины доказывается лицом, нарушившим обязательство (пункт 2 статьи 401 ГК РФ). По общему правилу лицо, причинившее вред, освобождается от возмещения вреда, если докажет, что вред причинен не по его вине (пункт 2 статьи 1064 ГК РФ). Бремя доказывания своей невиновности лежит на лице, нарушившем обязательство или причинившем вред. Вина в нарушении обязательства или в причинении вреда предполагается, пока не доказано обратное.</w:t>
      </w:r>
    </w:p>
    <w:p w14:paraId="279B676D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Ответчик не представил суду доказательств, подтверждающих отсутствие его вины в произошедшем заливе.</w:t>
      </w:r>
    </w:p>
    <w:p w14:paraId="0FDB927F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Принимая во внимание положение статьи 56 Гражданского процессуального кодекса Российской Федерации, возлагающую на сторону представить доказательства в подтверждение тех обстоятельств, на которые она ссылается, и принимая во внимание, что доказательств отсутствия вины в причинении залива, а также отсутствия причинно-следственной связи, ответчик суду не представил, судебная коллегия отклоняет доводы апелляционной жалобы об оспаривании причины залива как необоснованные.</w:t>
      </w:r>
    </w:p>
    <w:p w14:paraId="758FDA11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таких обстоятельствах судебная коллегия полагает, что ответственность по возмещению истцам ущерба, причиненного заливом, должна быть возложена на собственника квартиры № 134.</w:t>
      </w:r>
    </w:p>
    <w:p w14:paraId="2AADA667" w14:textId="77777777" w:rsidR="00FD0283" w:rsidRDefault="00000000">
      <w:pPr>
        <w:ind w:firstLine="567"/>
        <w:jc w:val="both"/>
        <w:rPr>
          <w:sz w:val="26"/>
          <w:szCs w:val="26"/>
        </w:rPr>
      </w:pPr>
      <w:r w:rsidRPr="005D6BD4">
        <w:rPr>
          <w:sz w:val="26"/>
          <w:szCs w:val="26"/>
          <w:highlight w:val="yellow"/>
        </w:rPr>
        <w:t>Ссылка ответчика в жалобе на то, что ответчик на осмотр поврежденной квартиры не вызывался, при составлении акта залития не присутствовал, основанием к отмене решения суда не является, поскольку не свидетельствует об отсутствии ущерба ввиду виновных действий ответчика и не опровергает установленный размер причиненного ущерба.</w:t>
      </w:r>
    </w:p>
    <w:p w14:paraId="62D58A5E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этом судебная коллегия отдельно учитывает, что согласно Акту № 012-23 от 23.03.2023, при его составлении присутствовал сын ответчика - </w:t>
      </w:r>
      <w:proofErr w:type="spellStart"/>
      <w:r>
        <w:rPr>
          <w:rStyle w:val="cat-FIOgrp-21rplc-73"/>
          <w:sz w:val="26"/>
          <w:szCs w:val="26"/>
        </w:rPr>
        <w:t>фио</w:t>
      </w:r>
      <w:proofErr w:type="spellEnd"/>
      <w:r>
        <w:rPr>
          <w:sz w:val="26"/>
          <w:szCs w:val="26"/>
        </w:rPr>
        <w:t>, от подписания акта он отказался.</w:t>
      </w:r>
    </w:p>
    <w:p w14:paraId="352A26E5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Доводы апелляционной жалобы о том, что судом необоснованно приняты во внимание показания свидетеля </w:t>
      </w:r>
      <w:proofErr w:type="spellStart"/>
      <w:r>
        <w:rPr>
          <w:rStyle w:val="cat-FIOgrp-20rplc-74"/>
          <w:sz w:val="26"/>
          <w:szCs w:val="26"/>
        </w:rPr>
        <w:t>фио</w:t>
      </w:r>
      <w:proofErr w:type="spellEnd"/>
      <w:r>
        <w:rPr>
          <w:sz w:val="26"/>
          <w:szCs w:val="26"/>
        </w:rPr>
        <w:t>, поскольку он составлял акт о заливе, то есть является лицом, прямо заинтересованным в исходе дела, по существу сводятся к несогласию с оценкой, данной судом установленным обстоятельствам, представленным доказательствам и сделанным в этой связи выводам, которые приведены судом с изложением необходимых мотивов, обоснованы ссылками на нормы права, регулирующие спорные правоотношения сторон применительно к установленным фактическим обстоятельствам спора.</w:t>
      </w:r>
    </w:p>
    <w:p w14:paraId="2D22E480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того, как следует из материалов дела, свидетель был предупрежден об уголовной ответственности за дачу заведомо ложных показаний, за отказ или уклонение </w:t>
      </w:r>
      <w:proofErr w:type="gramStart"/>
      <w:r>
        <w:rPr>
          <w:sz w:val="26"/>
          <w:szCs w:val="26"/>
        </w:rPr>
        <w:t>от дача</w:t>
      </w:r>
      <w:proofErr w:type="gramEnd"/>
      <w:r>
        <w:rPr>
          <w:sz w:val="26"/>
          <w:szCs w:val="26"/>
        </w:rPr>
        <w:t xml:space="preserve"> показаний по основаниям ст. 307, 308 Уголовного кодекса Российской Федерации, о чем судом была отобрана соответствующая подписка.</w:t>
      </w:r>
    </w:p>
    <w:p w14:paraId="2EA4DD04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Изложенные в апелляционной жалобе доводы о том, что суд не применил положения п. 3 ст. 1083 ГК РФ и не снизил размер взыскиваемого ущерба, не могут быть приняты судебной коллегией во внимание, поскольку исключительных обстоятельств, дающих право для применения положений п. 3 ст. 1083 ГК РФ, из материалов гражданского дела не усматривается.</w:t>
      </w:r>
    </w:p>
    <w:p w14:paraId="05BFA61E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таких обстоятельствах, судебная коллегия считает, что выводы судебного решения мотивированы со ссылкой на исследованные в судебном заседании доказательства и нормы материального права, регулирующие возникшие правоотношения.</w:t>
      </w:r>
    </w:p>
    <w:p w14:paraId="24548133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учетом изложенного судебная коллегия приходит к выводу о том, что решение суда первой инстанции постановлено с соблюдением требований норм процессуального и материального права, не противоречит собранным по делу доказательствам и требованиям закона, а доводы апелляционной жалобы не опровергают вышеизложенных выводов суда, не содержат обстоятельств, нуждающихся в дополнительной проверке, и не влияют на правильность принятого судом решения. </w:t>
      </w:r>
    </w:p>
    <w:p w14:paraId="58ED5320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Нарушений норм материального и процессуального права, влекущих отмену судебного решения, судом при разрешении спора допущено не было.</w:t>
      </w:r>
    </w:p>
    <w:p w14:paraId="239AC50C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изложенного, руководствуясь </w:t>
      </w:r>
      <w:proofErr w:type="spellStart"/>
      <w:r>
        <w:rPr>
          <w:sz w:val="26"/>
          <w:szCs w:val="26"/>
        </w:rPr>
        <w:t>ст.ст</w:t>
      </w:r>
      <w:proofErr w:type="spellEnd"/>
      <w:r>
        <w:rPr>
          <w:sz w:val="26"/>
          <w:szCs w:val="26"/>
        </w:rPr>
        <w:t xml:space="preserve">. 328, 329 ГПК РФ, судебная коллегия </w:t>
      </w:r>
    </w:p>
    <w:p w14:paraId="03862FB6" w14:textId="77777777" w:rsidR="00FD0283" w:rsidRDefault="00FD0283">
      <w:pPr>
        <w:ind w:firstLine="567"/>
        <w:jc w:val="both"/>
        <w:rPr>
          <w:sz w:val="26"/>
          <w:szCs w:val="26"/>
        </w:rPr>
      </w:pPr>
    </w:p>
    <w:p w14:paraId="4DE0FE22" w14:textId="77777777" w:rsidR="00FD0283" w:rsidRDefault="00000000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ОПРЕДЕЛИЛА:</w:t>
      </w:r>
    </w:p>
    <w:p w14:paraId="4B822DDA" w14:textId="77777777" w:rsidR="00FD0283" w:rsidRDefault="00FD0283">
      <w:pPr>
        <w:jc w:val="both"/>
        <w:rPr>
          <w:sz w:val="26"/>
          <w:szCs w:val="26"/>
        </w:rPr>
      </w:pPr>
    </w:p>
    <w:p w14:paraId="5C25D351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 Нагатинского районного суда </w:t>
      </w:r>
      <w:r>
        <w:rPr>
          <w:rStyle w:val="cat-Addressgrp-0rplc-75"/>
          <w:sz w:val="26"/>
          <w:szCs w:val="26"/>
        </w:rPr>
        <w:t>адрес</w:t>
      </w:r>
      <w:r>
        <w:rPr>
          <w:sz w:val="26"/>
          <w:szCs w:val="26"/>
        </w:rPr>
        <w:t xml:space="preserve"> от 19 марта 2024 года оставить без изменения, апелляционную жалобу ответчика </w:t>
      </w:r>
      <w:proofErr w:type="spellStart"/>
      <w:r>
        <w:rPr>
          <w:sz w:val="26"/>
          <w:szCs w:val="26"/>
        </w:rPr>
        <w:t>Бириной</w:t>
      </w:r>
      <w:proofErr w:type="spellEnd"/>
      <w:r>
        <w:rPr>
          <w:sz w:val="26"/>
          <w:szCs w:val="26"/>
        </w:rPr>
        <w:t xml:space="preserve"> </w:t>
      </w:r>
      <w:r>
        <w:rPr>
          <w:rStyle w:val="cat-UserDefinedgrp-29rplc-77"/>
          <w:sz w:val="26"/>
          <w:szCs w:val="26"/>
        </w:rPr>
        <w:t>...</w:t>
      </w:r>
      <w:r>
        <w:rPr>
          <w:sz w:val="26"/>
          <w:szCs w:val="26"/>
        </w:rPr>
        <w:t xml:space="preserve"> – без удовлетворения.</w:t>
      </w:r>
    </w:p>
    <w:p w14:paraId="3228C370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Мотивированное апелляционное определение составлено 27.12.2024г. </w:t>
      </w:r>
    </w:p>
    <w:p w14:paraId="60DE6093" w14:textId="77777777" w:rsidR="00FD0283" w:rsidRDefault="00FD0283">
      <w:pPr>
        <w:ind w:firstLine="567"/>
        <w:jc w:val="both"/>
        <w:rPr>
          <w:sz w:val="26"/>
          <w:szCs w:val="26"/>
        </w:rPr>
      </w:pPr>
    </w:p>
    <w:p w14:paraId="4E2BCCC8" w14:textId="77777777" w:rsidR="00FD0283" w:rsidRDefault="00FD0283">
      <w:pPr>
        <w:ind w:firstLine="567"/>
        <w:jc w:val="both"/>
        <w:rPr>
          <w:sz w:val="26"/>
          <w:szCs w:val="26"/>
        </w:rPr>
      </w:pPr>
    </w:p>
    <w:p w14:paraId="015BE549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Председательствующий:</w:t>
      </w:r>
    </w:p>
    <w:p w14:paraId="3D77BFB7" w14:textId="77777777" w:rsidR="00FD0283" w:rsidRDefault="00FD0283">
      <w:pPr>
        <w:jc w:val="both"/>
        <w:rPr>
          <w:sz w:val="26"/>
          <w:szCs w:val="26"/>
        </w:rPr>
      </w:pPr>
    </w:p>
    <w:p w14:paraId="3602B10A" w14:textId="77777777" w:rsidR="00FD0283" w:rsidRDefault="00FD0283">
      <w:pPr>
        <w:ind w:firstLine="567"/>
        <w:jc w:val="both"/>
        <w:rPr>
          <w:sz w:val="26"/>
          <w:szCs w:val="26"/>
        </w:rPr>
      </w:pPr>
    </w:p>
    <w:p w14:paraId="204E9E9B" w14:textId="77777777" w:rsidR="00FD0283" w:rsidRDefault="00000000">
      <w:pPr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Судьи:</w:t>
      </w:r>
    </w:p>
    <w:sectPr w:rsidR="00FD0283">
      <w:footerReference w:type="default" r:id="rId6"/>
      <w:pgSz w:w="12240" w:h="15840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70A1B" w14:textId="77777777" w:rsidR="001957D9" w:rsidRDefault="001957D9">
      <w:r>
        <w:separator/>
      </w:r>
    </w:p>
  </w:endnote>
  <w:endnote w:type="continuationSeparator" w:id="0">
    <w:p w14:paraId="6D3E2CE2" w14:textId="77777777" w:rsidR="001957D9" w:rsidRDefault="0019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15DE2" w14:textId="77777777" w:rsidR="00FD0283" w:rsidRDefault="00000000">
    <w:pPr>
      <w:spacing w:after="200" w:line="276" w:lineRule="auto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517BA6DB" w14:textId="77777777" w:rsidR="00FD0283" w:rsidRDefault="00FD0283">
    <w:pPr>
      <w:spacing w:after="200" w:line="276" w:lineRule="auto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3CCD" w14:textId="77777777" w:rsidR="001957D9" w:rsidRDefault="001957D9">
      <w:r>
        <w:separator/>
      </w:r>
    </w:p>
  </w:footnote>
  <w:footnote w:type="continuationSeparator" w:id="0">
    <w:p w14:paraId="122F43AB" w14:textId="77777777" w:rsidR="001957D9" w:rsidRDefault="00195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283"/>
    <w:rsid w:val="001957D9"/>
    <w:rsid w:val="00540E48"/>
    <w:rsid w:val="005D6BD4"/>
    <w:rsid w:val="00F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3B2A"/>
  <w15:docId w15:val="{D0593D95-06B3-45B8-8CE1-3FA721AA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t-FIOgrp-3rplc-0">
    <w:name w:val="cat-FIO grp-3 rplc-0"/>
    <w:basedOn w:val="a0"/>
  </w:style>
  <w:style w:type="character" w:customStyle="1" w:styleId="cat-Addressgrp-0rplc-1">
    <w:name w:val="cat-Address grp-0 rplc-1"/>
    <w:basedOn w:val="a0"/>
  </w:style>
  <w:style w:type="character" w:customStyle="1" w:styleId="cat-FIOgrp-5rplc-3">
    <w:name w:val="cat-FIO grp-5 rplc-3"/>
    <w:basedOn w:val="a0"/>
  </w:style>
  <w:style w:type="character" w:customStyle="1" w:styleId="cat-FIOgrp-6rplc-4">
    <w:name w:val="cat-FIO grp-6 rplc-4"/>
    <w:basedOn w:val="a0"/>
  </w:style>
  <w:style w:type="character" w:customStyle="1" w:styleId="cat-FIOgrp-5rplc-6">
    <w:name w:val="cat-FIO grp-5 rplc-6"/>
    <w:basedOn w:val="a0"/>
  </w:style>
  <w:style w:type="character" w:customStyle="1" w:styleId="cat-UserDefinedgrp-29rplc-8">
    <w:name w:val="cat-UserDefined grp-29 rplc-8"/>
    <w:basedOn w:val="a0"/>
  </w:style>
  <w:style w:type="character" w:customStyle="1" w:styleId="cat-Addressgrp-0rplc-9">
    <w:name w:val="cat-Address grp-0 rplc-9"/>
    <w:basedOn w:val="a0"/>
  </w:style>
  <w:style w:type="character" w:customStyle="1" w:styleId="cat-UserDefinedgrp-30rplc-11">
    <w:name w:val="cat-UserDefined grp-30 rplc-11"/>
    <w:basedOn w:val="a0"/>
  </w:style>
  <w:style w:type="character" w:customStyle="1" w:styleId="cat-UserDefinedgrp-31rplc-13">
    <w:name w:val="cat-UserDefined grp-31 rplc-13"/>
    <w:basedOn w:val="a0"/>
  </w:style>
  <w:style w:type="character" w:customStyle="1" w:styleId="cat-UserDefinedgrp-29rplc-15">
    <w:name w:val="cat-UserDefined grp-29 rplc-15"/>
    <w:basedOn w:val="a0"/>
  </w:style>
  <w:style w:type="character" w:customStyle="1" w:styleId="cat-UserDefinedgrp-32rplc-16">
    <w:name w:val="cat-UserDefined grp-32 rplc-16"/>
    <w:basedOn w:val="a0"/>
  </w:style>
  <w:style w:type="character" w:customStyle="1" w:styleId="cat-UserDefinedgrp-30rplc-19">
    <w:name w:val="cat-UserDefined grp-30 rplc-19"/>
    <w:basedOn w:val="a0"/>
  </w:style>
  <w:style w:type="character" w:customStyle="1" w:styleId="cat-UserDefinedgrp-33rplc-20">
    <w:name w:val="cat-UserDefined grp-33 rplc-20"/>
    <w:basedOn w:val="a0"/>
  </w:style>
  <w:style w:type="character" w:customStyle="1" w:styleId="cat-UserDefinedgrp-31rplc-23">
    <w:name w:val="cat-UserDefined grp-31 rplc-23"/>
    <w:basedOn w:val="a0"/>
  </w:style>
  <w:style w:type="character" w:customStyle="1" w:styleId="cat-UserDefinedgrp-34rplc-24">
    <w:name w:val="cat-UserDefined grp-34 rplc-24"/>
    <w:basedOn w:val="a0"/>
  </w:style>
  <w:style w:type="character" w:customStyle="1" w:styleId="cat-Sumgrp-22rplc-26">
    <w:name w:val="cat-Sum grp-22 rplc-26"/>
    <w:basedOn w:val="a0"/>
  </w:style>
  <w:style w:type="character" w:customStyle="1" w:styleId="cat-Sumgrp-23rplc-27">
    <w:name w:val="cat-Sum grp-23 rplc-27"/>
    <w:basedOn w:val="a0"/>
  </w:style>
  <w:style w:type="character" w:customStyle="1" w:styleId="cat-Sumgrp-24rplc-28">
    <w:name w:val="cat-Sum grp-24 rplc-28"/>
    <w:basedOn w:val="a0"/>
  </w:style>
  <w:style w:type="character" w:customStyle="1" w:styleId="cat-FIOgrp-11rplc-29">
    <w:name w:val="cat-FIO grp-11 rplc-29"/>
    <w:basedOn w:val="a0"/>
  </w:style>
  <w:style w:type="character" w:customStyle="1" w:styleId="cat-Addressgrp-1rplc-32">
    <w:name w:val="cat-Address grp-1 rplc-32"/>
    <w:basedOn w:val="a0"/>
  </w:style>
  <w:style w:type="character" w:customStyle="1" w:styleId="cat-Sumgrp-22rplc-38">
    <w:name w:val="cat-Sum grp-22 rplc-38"/>
    <w:basedOn w:val="a0"/>
  </w:style>
  <w:style w:type="character" w:customStyle="1" w:styleId="cat-FIOgrp-15rplc-45">
    <w:name w:val="cat-FIO grp-15 rplc-45"/>
    <w:basedOn w:val="a0"/>
  </w:style>
  <w:style w:type="character" w:customStyle="1" w:styleId="cat-FIOgrp-15rplc-47">
    <w:name w:val="cat-FIO grp-15 rplc-47"/>
    <w:basedOn w:val="a0"/>
  </w:style>
  <w:style w:type="character" w:customStyle="1" w:styleId="cat-FIOgrp-17rplc-50">
    <w:name w:val="cat-FIO grp-17 rplc-50"/>
    <w:basedOn w:val="a0"/>
  </w:style>
  <w:style w:type="character" w:customStyle="1" w:styleId="cat-FIOgrp-18rplc-51">
    <w:name w:val="cat-FIO grp-18 rplc-51"/>
    <w:basedOn w:val="a0"/>
  </w:style>
  <w:style w:type="character" w:customStyle="1" w:styleId="cat-FIOgrp-19rplc-52">
    <w:name w:val="cat-FIO grp-19 rplc-52"/>
    <w:basedOn w:val="a0"/>
  </w:style>
  <w:style w:type="character" w:customStyle="1" w:styleId="cat-FIOgrp-11rplc-53">
    <w:name w:val="cat-FIO grp-11 rplc-53"/>
    <w:basedOn w:val="a0"/>
  </w:style>
  <w:style w:type="character" w:customStyle="1" w:styleId="cat-Addressgrp-2rplc-55">
    <w:name w:val="cat-Address grp-2 rplc-55"/>
    <w:basedOn w:val="a0"/>
  </w:style>
  <w:style w:type="character" w:customStyle="1" w:styleId="cat-FIOgrp-20rplc-61">
    <w:name w:val="cat-FIO grp-20 rplc-61"/>
    <w:basedOn w:val="a0"/>
  </w:style>
  <w:style w:type="character" w:customStyle="1" w:styleId="cat-Sumgrp-22rplc-63">
    <w:name w:val="cat-Sum grp-22 rplc-63"/>
    <w:basedOn w:val="a0"/>
  </w:style>
  <w:style w:type="character" w:customStyle="1" w:styleId="cat-Sumgrp-22rplc-64">
    <w:name w:val="cat-Sum grp-22 rplc-64"/>
    <w:basedOn w:val="a0"/>
  </w:style>
  <w:style w:type="character" w:customStyle="1" w:styleId="cat-Sumgrp-25rplc-65">
    <w:name w:val="cat-Sum grp-25 rplc-65"/>
    <w:basedOn w:val="a0"/>
  </w:style>
  <w:style w:type="character" w:customStyle="1" w:styleId="cat-Sumgrp-23rplc-70">
    <w:name w:val="cat-Sum grp-23 rplc-70"/>
    <w:basedOn w:val="a0"/>
  </w:style>
  <w:style w:type="character" w:customStyle="1" w:styleId="cat-Sumgrp-24rplc-71">
    <w:name w:val="cat-Sum grp-24 rplc-71"/>
    <w:basedOn w:val="a0"/>
  </w:style>
  <w:style w:type="character" w:customStyle="1" w:styleId="cat-FIOgrp-21rplc-73">
    <w:name w:val="cat-FIO grp-21 rplc-73"/>
    <w:basedOn w:val="a0"/>
  </w:style>
  <w:style w:type="character" w:customStyle="1" w:styleId="cat-FIOgrp-20rplc-74">
    <w:name w:val="cat-FIO grp-20 rplc-74"/>
    <w:basedOn w:val="a0"/>
  </w:style>
  <w:style w:type="character" w:customStyle="1" w:styleId="cat-Addressgrp-0rplc-75">
    <w:name w:val="cat-Address grp-0 rplc-75"/>
    <w:basedOn w:val="a0"/>
  </w:style>
  <w:style w:type="character" w:customStyle="1" w:styleId="cat-UserDefinedgrp-29rplc-77">
    <w:name w:val="cat-UserDefined grp-29 rplc-77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2418</Words>
  <Characters>13784</Characters>
  <Application>Microsoft Office Word</Application>
  <DocSecurity>0</DocSecurity>
  <Lines>114</Lines>
  <Paragraphs>32</Paragraphs>
  <ScaleCrop>false</ScaleCrop>
  <Company/>
  <LinksUpToDate>false</LinksUpToDate>
  <CharactersWithSpaces>16170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Spiryanov</cp:lastModifiedBy>
  <cp:revision>1</cp:revision>
  <dcterms:created xsi:type="dcterms:W3CDTF">2026-06-19T14:04:00Z</dcterms:created>
  <dcterms:modified xsi:type="dcterms:W3CDTF">2026-06-19T14:05:00Z</dcterms:modified>
</cp:coreProperties>
</file>